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autoSpaceDE/>
        <w:autoSpaceDN w:val="0"/>
        <w:snapToGrid w:val="0"/>
        <w:spacing w:line="240" w:lineRule="auto"/>
        <w:rPr>
          <w:rFonts w:hint="eastAsia" w:ascii="黑体" w:hAnsi="黑体" w:eastAsia="黑体" w:cs="黑体"/>
          <w:b w:val="0"/>
          <w:bCs w:val="0"/>
          <w:snapToGrid/>
          <w:color w:val="000000"/>
          <w:sz w:val="32"/>
          <w:szCs w:val="32"/>
          <w:lang w:val="en-US" w:eastAsia="zh-CN"/>
        </w:rPr>
      </w:pPr>
      <w:r>
        <w:rPr>
          <w:rFonts w:hint="eastAsia" w:ascii="黑体" w:hAnsi="黑体" w:eastAsia="黑体" w:cs="黑体"/>
          <w:b w:val="0"/>
          <w:bCs w:val="0"/>
          <w:snapToGrid/>
          <w:color w:val="000000"/>
          <w:sz w:val="32"/>
          <w:szCs w:val="32"/>
          <w:lang w:val="en-US" w:eastAsia="zh-CN"/>
        </w:rPr>
        <w:t>附件1</w:t>
      </w:r>
    </w:p>
    <w:p>
      <w:pPr>
        <w:widowControl/>
        <w:snapToGrid w:val="0"/>
        <w:spacing w:beforeLines="0" w:afterLines="0" w:line="660" w:lineRule="exact"/>
        <w:jc w:val="both"/>
        <w:rPr>
          <w:rFonts w:hint="eastAsia" w:ascii="方正小标宋简体" w:hAnsi="方正小标宋简体" w:eastAsia="方正小标宋简体" w:cs="方正小标宋简体"/>
          <w:b w:val="0"/>
          <w:bCs w:val="0"/>
          <w:color w:val="000000"/>
          <w:kern w:val="0"/>
          <w:sz w:val="44"/>
          <w:szCs w:val="44"/>
        </w:rPr>
      </w:pPr>
    </w:p>
    <w:p>
      <w:pPr>
        <w:widowControl/>
        <w:snapToGrid w:val="0"/>
        <w:spacing w:beforeLines="0" w:afterLines="0" w:line="660" w:lineRule="exact"/>
        <w:jc w:val="center"/>
        <w:rPr>
          <w:rFonts w:hint="eastAsia" w:ascii="方正小标宋简体" w:hAnsi="方正小标宋简体" w:eastAsia="方正小标宋简体" w:cs="方正小标宋简体"/>
          <w:b w:val="0"/>
          <w:bCs w:val="0"/>
          <w:color w:val="000000"/>
          <w:kern w:val="0"/>
          <w:sz w:val="44"/>
          <w:szCs w:val="44"/>
          <w:lang w:eastAsia="zh-CN"/>
        </w:rPr>
      </w:pPr>
      <w:r>
        <w:rPr>
          <w:rFonts w:hint="eastAsia" w:ascii="方正小标宋简体" w:hAnsi="方正小标宋简体" w:eastAsia="方正小标宋简体" w:cs="方正小标宋简体"/>
          <w:b w:val="0"/>
          <w:bCs w:val="0"/>
          <w:color w:val="000000"/>
          <w:kern w:val="0"/>
          <w:sz w:val="44"/>
          <w:szCs w:val="44"/>
        </w:rPr>
        <w:t>20</w:t>
      </w:r>
      <w:r>
        <w:rPr>
          <w:rFonts w:hint="eastAsia" w:ascii="方正小标宋简体" w:hAnsi="方正小标宋简体" w:eastAsia="方正小标宋简体" w:cs="方正小标宋简体"/>
          <w:b w:val="0"/>
          <w:bCs w:val="0"/>
          <w:color w:val="000000"/>
          <w:kern w:val="0"/>
          <w:sz w:val="44"/>
          <w:szCs w:val="44"/>
          <w:lang w:val="en-US" w:eastAsia="zh-CN"/>
        </w:rPr>
        <w:t>26</w:t>
      </w:r>
      <w:r>
        <w:rPr>
          <w:rFonts w:hint="eastAsia" w:ascii="方正小标宋简体" w:hAnsi="方正小标宋简体" w:eastAsia="方正小标宋简体" w:cs="方正小标宋简体"/>
          <w:b w:val="0"/>
          <w:bCs w:val="0"/>
          <w:color w:val="000000"/>
          <w:kern w:val="0"/>
          <w:sz w:val="44"/>
          <w:szCs w:val="44"/>
          <w:lang w:eastAsia="zh-CN"/>
        </w:rPr>
        <w:t>-</w:t>
      </w:r>
      <w:r>
        <w:rPr>
          <w:rFonts w:hint="eastAsia" w:ascii="方正小标宋简体" w:hAnsi="方正小标宋简体" w:eastAsia="方正小标宋简体" w:cs="方正小标宋简体"/>
          <w:b w:val="0"/>
          <w:bCs w:val="0"/>
          <w:color w:val="000000"/>
          <w:kern w:val="0"/>
          <w:sz w:val="44"/>
          <w:szCs w:val="44"/>
        </w:rPr>
        <w:t>20</w:t>
      </w:r>
      <w:r>
        <w:rPr>
          <w:rFonts w:hint="eastAsia" w:ascii="方正小标宋简体" w:hAnsi="方正小标宋简体" w:eastAsia="方正小标宋简体" w:cs="方正小标宋简体"/>
          <w:b w:val="0"/>
          <w:bCs w:val="0"/>
          <w:color w:val="000000"/>
          <w:kern w:val="0"/>
          <w:sz w:val="44"/>
          <w:szCs w:val="44"/>
          <w:lang w:val="en-US" w:eastAsia="zh-CN"/>
        </w:rPr>
        <w:t>27</w:t>
      </w:r>
      <w:r>
        <w:rPr>
          <w:rFonts w:hint="eastAsia" w:ascii="方正小标宋简体" w:hAnsi="方正小标宋简体" w:eastAsia="方正小标宋简体" w:cs="方正小标宋简体"/>
          <w:b w:val="0"/>
          <w:bCs w:val="0"/>
          <w:color w:val="000000"/>
          <w:kern w:val="0"/>
          <w:sz w:val="44"/>
          <w:szCs w:val="44"/>
        </w:rPr>
        <w:t>年度</w:t>
      </w:r>
      <w:r>
        <w:rPr>
          <w:rFonts w:hint="eastAsia" w:ascii="方正小标宋简体" w:hAnsi="方正小标宋简体" w:eastAsia="方正小标宋简体" w:cs="方正小标宋简体"/>
          <w:b w:val="0"/>
          <w:bCs w:val="0"/>
          <w:color w:val="000000"/>
          <w:kern w:val="0"/>
          <w:sz w:val="44"/>
          <w:szCs w:val="44"/>
          <w:lang w:eastAsia="zh-CN"/>
        </w:rPr>
        <w:t>广东省</w:t>
      </w:r>
      <w:r>
        <w:rPr>
          <w:rFonts w:hint="eastAsia" w:ascii="方正小标宋简体" w:hAnsi="方正小标宋简体" w:eastAsia="方正小标宋简体" w:cs="方正小标宋简体"/>
          <w:b w:val="0"/>
          <w:bCs w:val="0"/>
          <w:color w:val="000000"/>
          <w:kern w:val="0"/>
          <w:sz w:val="44"/>
          <w:szCs w:val="44"/>
        </w:rPr>
        <w:t>文化</w:t>
      </w:r>
      <w:r>
        <w:rPr>
          <w:rFonts w:hint="eastAsia" w:ascii="方正小标宋简体" w:hAnsi="方正小标宋简体" w:eastAsia="方正小标宋简体" w:cs="方正小标宋简体"/>
          <w:b w:val="0"/>
          <w:bCs w:val="0"/>
          <w:color w:val="000000"/>
          <w:kern w:val="0"/>
          <w:sz w:val="44"/>
          <w:szCs w:val="44"/>
          <w:lang w:eastAsia="zh-CN"/>
        </w:rPr>
        <w:t>和旅游统计</w:t>
      </w:r>
    </w:p>
    <w:p>
      <w:pPr>
        <w:widowControl/>
        <w:snapToGrid w:val="0"/>
        <w:spacing w:beforeLines="0" w:afterLines="0" w:line="660" w:lineRule="exact"/>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color w:val="000000"/>
          <w:kern w:val="0"/>
          <w:sz w:val="44"/>
          <w:szCs w:val="44"/>
          <w:lang w:eastAsia="zh-CN"/>
        </w:rPr>
        <w:t>和大数据</w:t>
      </w:r>
      <w:r>
        <w:rPr>
          <w:rFonts w:hint="eastAsia" w:ascii="方正小标宋简体" w:hAnsi="方正小标宋简体" w:eastAsia="方正小标宋简体" w:cs="方正小标宋简体"/>
          <w:b w:val="0"/>
          <w:bCs w:val="0"/>
          <w:color w:val="000000"/>
          <w:kern w:val="0"/>
          <w:sz w:val="44"/>
          <w:szCs w:val="44"/>
        </w:rPr>
        <w:t>研究课题指南</w:t>
      </w:r>
    </w:p>
    <w:p>
      <w:pPr>
        <w:widowControl/>
        <w:snapToGrid w:val="0"/>
        <w:spacing w:line="600" w:lineRule="exact"/>
        <w:ind w:firstLine="720" w:firstLineChars="200"/>
        <w:jc w:val="both"/>
        <w:rPr>
          <w:rFonts w:ascii="黑体" w:hAnsi="黑体" w:eastAsia="黑体" w:cs="宋体"/>
          <w:color w:val="000000"/>
          <w:kern w:val="0"/>
          <w:sz w:val="36"/>
          <w:szCs w:val="36"/>
        </w:rPr>
      </w:pPr>
    </w:p>
    <w:p>
      <w:pPr>
        <w:widowControl/>
        <w:numPr>
          <w:ilvl w:val="0"/>
          <w:numId w:val="0"/>
        </w:numPr>
        <w:snapToGrid w:val="0"/>
        <w:spacing w:beforeLines="0" w:afterLines="0" w:line="360" w:lineRule="auto"/>
        <w:ind w:firstLine="640" w:firstLineChars="200"/>
        <w:jc w:val="both"/>
        <w:rPr>
          <w:rFonts w:hint="eastAsia" w:ascii="黑体" w:hAnsi="黑体" w:eastAsia="黑体" w:cs="黑体"/>
          <w:color w:val="000000"/>
          <w:kern w:val="0"/>
          <w:sz w:val="32"/>
          <w:szCs w:val="30"/>
          <w:lang w:val="en-US" w:eastAsia="zh-CN"/>
        </w:rPr>
      </w:pPr>
      <w:r>
        <w:rPr>
          <w:rFonts w:hint="eastAsia" w:ascii="黑体" w:hAnsi="黑体" w:eastAsia="黑体" w:cs="黑体"/>
          <w:color w:val="000000"/>
          <w:kern w:val="0"/>
          <w:sz w:val="32"/>
          <w:szCs w:val="30"/>
          <w:lang w:val="en-US" w:eastAsia="zh-CN"/>
        </w:rPr>
        <w:t>一、理论方法统计研究类</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1.旅游友好型城市评价体系研究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2.旅游统计体系优化研究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3.现代旅游业体系测度研究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4.文化旅游业产业增加值测算研究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5.旅游业就业规模测算研究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6.县域旅游经济统计研究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7.假日旅游统计方法优化研究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8.数字文旅产业规模测算研究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9.文化统计指标优化研究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10.旅游总消费对社会消费品零售总额及服务零售额贡献度研究及关联分析</w:t>
      </w:r>
    </w:p>
    <w:p>
      <w:pPr>
        <w:widowControl/>
        <w:snapToGrid w:val="0"/>
        <w:spacing w:beforeLines="0" w:afterLines="0" w:line="360" w:lineRule="auto"/>
        <w:ind w:firstLine="640" w:firstLineChars="200"/>
        <w:jc w:val="both"/>
        <w:rPr>
          <w:rFonts w:hint="eastAsia" w:ascii="黑体" w:hAnsi="黑体" w:eastAsia="黑体" w:cs="黑体"/>
          <w:color w:val="000000"/>
          <w:kern w:val="0"/>
          <w:sz w:val="32"/>
          <w:szCs w:val="30"/>
          <w:lang w:val="en-US" w:eastAsia="zh-CN"/>
        </w:rPr>
      </w:pPr>
      <w:r>
        <w:rPr>
          <w:rFonts w:hint="eastAsia" w:ascii="黑体" w:hAnsi="黑体" w:eastAsia="黑体" w:cs="黑体"/>
          <w:color w:val="000000"/>
          <w:kern w:val="0"/>
          <w:sz w:val="32"/>
          <w:szCs w:val="30"/>
          <w:lang w:val="en-US" w:eastAsia="zh-CN"/>
        </w:rPr>
        <w:t>二、数据实践应用探索类</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11.粤港澳大湾区世界级旅游目的地旅游数据测算研究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12.住宿业统计分析研究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13.文体娱乐业统计分析研究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14.文化大数据应用研究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15.文化场馆服务人次监测优化研究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16.文化消费数据测算研究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17.非物质文化遗产馆统计指标研究</w:t>
      </w:r>
    </w:p>
    <w:p>
      <w:pPr>
        <w:pStyle w:val="2"/>
        <w:ind w:left="0" w:leftChars="0" w:firstLine="640" w:firstLineChars="200"/>
        <w:rPr>
          <w:rFonts w:hint="eastAsia"/>
          <w:lang w:val="en-US" w:eastAsia="zh-CN"/>
        </w:rPr>
      </w:pPr>
      <w:r>
        <w:rPr>
          <w:rFonts w:hint="eastAsia" w:ascii="仿宋_GB2312" w:hAnsi="仿宋_GB2312" w:eastAsia="仿宋_GB2312" w:cs="仿宋_GB2312"/>
          <w:kern w:val="0"/>
          <w:sz w:val="32"/>
          <w:szCs w:val="24"/>
          <w:lang w:val="en-US" w:eastAsia="zh-CN" w:bidi="ar-SA"/>
        </w:rPr>
        <w:t>18.文旅赋能“百千万工程”效能测算研究</w:t>
      </w:r>
    </w:p>
    <w:p>
      <w:pPr>
        <w:pStyle w:val="2"/>
        <w:ind w:left="0" w:leftChars="0" w:firstLine="640" w:firstLineChars="200"/>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19.旅居数据测算研究</w:t>
      </w:r>
    </w:p>
    <w:p>
      <w:pPr>
        <w:pStyle w:val="2"/>
        <w:ind w:left="0" w:leftChars="0" w:firstLine="640" w:firstLineChars="200"/>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20.温泉康养旅游数据测算研究</w:t>
      </w:r>
    </w:p>
    <w:p>
      <w:pPr>
        <w:pStyle w:val="2"/>
        <w:ind w:left="0" w:leftChars="0" w:firstLine="640" w:firstLineChars="200"/>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21.露营经济数据测算研究</w:t>
      </w:r>
    </w:p>
    <w:p>
      <w:pPr>
        <w:pStyle w:val="2"/>
        <w:ind w:left="0" w:leftChars="0" w:firstLine="640" w:firstLineChars="200"/>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22.出入境旅游市场数据测算研究</w:t>
      </w:r>
    </w:p>
    <w:p>
      <w:pPr>
        <w:pStyle w:val="2"/>
        <w:ind w:left="0" w:leftChars="0" w:firstLine="640" w:firstLineChars="200"/>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23.游艇/邮轮旅游数据测算研究</w:t>
      </w:r>
    </w:p>
    <w:p>
      <w:pPr>
        <w:pStyle w:val="2"/>
        <w:ind w:left="0" w:leftChars="0" w:firstLine="640" w:firstLineChars="200"/>
        <w:rPr>
          <w:rFonts w:hint="default"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24.红色旅游数据测算研究</w:t>
      </w:r>
    </w:p>
    <w:p>
      <w:pPr>
        <w:pStyle w:val="2"/>
        <w:ind w:left="0" w:leftChars="0" w:firstLine="640" w:firstLineChars="200"/>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25.低空旅游数据测算研究</w:t>
      </w:r>
    </w:p>
    <w:p>
      <w:pPr>
        <w:pStyle w:val="2"/>
        <w:ind w:left="0" w:leftChars="0" w:firstLine="640" w:firstLineChars="200"/>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26.亲子/研学游数据测算研究</w:t>
      </w:r>
    </w:p>
    <w:p>
      <w:pPr>
        <w:pStyle w:val="2"/>
        <w:ind w:left="0" w:leftChars="0" w:firstLine="640" w:firstLineChars="200"/>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27.广东省十大旅游目的地的测算研究</w:t>
      </w:r>
    </w:p>
    <w:p>
      <w:pPr>
        <w:pStyle w:val="2"/>
        <w:ind w:left="0" w:leftChars="0" w:firstLine="640" w:firstLineChars="200"/>
        <w:rPr>
          <w:rFonts w:hint="default"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28.旅游联盟数据测算研究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29.“跟着美食去旅行”数据测算研究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30.“跟着演艺去旅行”数据测算研究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31.“跟着赛事去旅行”数据测算研究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32.“跟着购物去旅行”数据测算研究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33.“跟着非遗去旅行”数据测算研究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34.“跟着影视去旅行”数据测算研究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35.“旅游+交通”数</w:t>
      </w:r>
      <w:bookmarkStart w:id="0" w:name="_GoBack"/>
      <w:bookmarkEnd w:id="0"/>
      <w:r>
        <w:rPr>
          <w:rFonts w:hint="eastAsia" w:ascii="仿宋_GB2312" w:hAnsi="仿宋_GB2312" w:eastAsia="仿宋_GB2312" w:cs="仿宋_GB2312"/>
          <w:kern w:val="0"/>
          <w:sz w:val="32"/>
          <w:szCs w:val="24"/>
          <w:lang w:val="en-US" w:eastAsia="zh-CN" w:bidi="ar-SA"/>
        </w:rPr>
        <w:t>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36.“旅游+工业”数据测算研究</w:t>
      </w:r>
    </w:p>
    <w:p>
      <w:pPr>
        <w:pStyle w:val="2"/>
        <w:ind w:left="0" w:leftChars="0" w:firstLine="640" w:firstLineChars="200"/>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37.“旅游+会展”数据测算研究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38.“旅游+科技”数据测算研究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39.“旅游+医疗”数据测算研究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40.“旅游+潮玩”数据测算研究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lang w:val="en-US" w:eastAsia="zh-CN"/>
        </w:rPr>
      </w:pPr>
      <w:r>
        <w:rPr>
          <w:rFonts w:hint="eastAsia" w:ascii="仿宋_GB2312" w:hAnsi="仿宋_GB2312" w:eastAsia="仿宋_GB2312" w:cs="仿宋_GB2312"/>
          <w:kern w:val="0"/>
          <w:sz w:val="32"/>
          <w:szCs w:val="24"/>
          <w:lang w:val="en-US" w:eastAsia="zh-CN" w:bidi="ar-SA"/>
        </w:rPr>
        <w:t>41.“旅游+AI”数据测算研究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42.新能源汽车对酒店业的影响测算研究</w:t>
      </w:r>
    </w:p>
    <w:p>
      <w:pPr>
        <w:pStyle w:val="2"/>
        <w:ind w:left="0" w:leftChars="0" w:firstLine="640" w:firstLineChars="200"/>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43.台风预警对旅游业影响的最佳策略分析</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44.AI漫剧对旅游业影响测算研究</w:t>
      </w:r>
    </w:p>
    <w:p>
      <w:pPr>
        <w:pStyle w:val="2"/>
        <w:ind w:left="0" w:leftChars="0" w:firstLine="640" w:firstLineChars="200"/>
        <w:rPr>
          <w:rFonts w:hint="eastAsia" w:ascii="仿宋_GB2312" w:hAnsi="仿宋_GB2312" w:eastAsia="仿宋_GB2312" w:cs="仿宋_GB2312"/>
          <w:kern w:val="0"/>
          <w:sz w:val="32"/>
          <w:szCs w:val="24"/>
          <w:lang w:val="en-US" w:eastAsia="zh-CN" w:bidi="ar-SA"/>
        </w:rPr>
      </w:pPr>
      <w:r>
        <w:rPr>
          <w:rFonts w:hint="eastAsia" w:ascii="仿宋_GB2312" w:hAnsi="仿宋_GB2312" w:eastAsia="仿宋_GB2312" w:cs="仿宋_GB2312"/>
          <w:kern w:val="0"/>
          <w:sz w:val="32"/>
          <w:szCs w:val="24"/>
          <w:lang w:val="en-US" w:eastAsia="zh-CN" w:bidi="ar-SA"/>
        </w:rPr>
        <w:t>45.其他文旅新业态新场景测算研究</w:t>
      </w:r>
    </w:p>
    <w:p>
      <w:pPr>
        <w:rPr>
          <w:rFonts w:hint="default"/>
          <w:lang w:val="en-US" w:eastAsia="zh-CN"/>
        </w:rPr>
      </w:pPr>
    </w:p>
    <w:p>
      <w:pPr>
        <w:autoSpaceDN w:val="0"/>
        <w:ind w:firstLine="640" w:firstLineChars="200"/>
      </w:pPr>
      <w:r>
        <w:rPr>
          <w:rFonts w:hint="eastAsia" w:ascii="黑体" w:hAnsi="黑体" w:eastAsia="黑体" w:cs="黑体"/>
          <w:snapToGrid/>
          <w:color w:val="040404"/>
          <w:sz w:val="32"/>
          <w:szCs w:val="32"/>
          <w:lang w:val="en-US" w:eastAsia="zh-CN"/>
        </w:rPr>
        <w:t>注：以上45项为课题研究范围，非课题题目。申报人可根据研究范围自行确定课题题目。</w:t>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63564F"/>
    <w:rsid w:val="01922ED6"/>
    <w:rsid w:val="0A2A1087"/>
    <w:rsid w:val="32970DB6"/>
    <w:rsid w:val="38201FC8"/>
    <w:rsid w:val="5AFF1617"/>
    <w:rsid w:val="5FF6F785"/>
    <w:rsid w:val="6B5B255A"/>
    <w:rsid w:val="6F997328"/>
    <w:rsid w:val="6FD23DEF"/>
    <w:rsid w:val="7563564F"/>
    <w:rsid w:val="DFF6EE3C"/>
    <w:rsid w:val="DFFEF1A2"/>
    <w:rsid w:val="EF4FC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Times New Roman" w:hAnsi="Times New Roman" w:eastAsia="宋体" w:cs="Times New Roman"/>
      <w:kern w:val="2"/>
      <w:sz w:val="21"/>
      <w:lang w:val="en-US" w:eastAsia="zh-CN"/>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716</Words>
  <Characters>810</Characters>
  <Lines>0</Lines>
  <Paragraphs>0</Paragraphs>
  <TotalTime>3</TotalTime>
  <ScaleCrop>false</ScaleCrop>
  <LinksUpToDate>false</LinksUpToDate>
  <CharactersWithSpaces>810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2026-09-09T17:57:00Z</dcterms:created>
  <dc:creator>张炜嘉</dc:creator>
  <cp:lastModifiedBy>车宝琴</cp:lastModifiedBy>
  <cp:lastPrinted>2026-09-09T22:49:00Z</cp:lastPrinted>
  <dcterms:modified xsi:type="dcterms:W3CDTF">2026-09-20T07:08:40Z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7669A3C5926727A73054AF6A2E214931</vt:lpwstr>
  </property>
  <property fmtid="{D5CDD505-2E9C-101B-9397-08002B2CF9AE}" pid="4" name="KSOTemplateDocerSaveRecord">
    <vt:lpwstr>eyJoZGlkIjoiN2ZiMWU4NjE2ZThjZWFmNTIyNjY1N2Y2MGM4NGU0YzgiLCJ1c2VySWQiOiIzMDQxMTc3NDIifQ==</vt:lpwstr>
  </property>
</Properties>
</file>